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2043" w:rsidRDefault="00CB2E6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8"/>
          <w:szCs w:val="28"/>
        </w:rPr>
      </w:pPr>
      <w:bookmarkStart w:id="0" w:name="_gjdgxs" w:colFirst="0" w:colLast="0"/>
      <w:bookmarkEnd w:id="0"/>
      <w:r>
        <w:rPr>
          <w:rFonts w:ascii="Calibri" w:eastAsia="Calibri" w:hAnsi="Calibri" w:cs="Calibri"/>
          <w:b/>
          <w:color w:val="000000"/>
          <w:sz w:val="28"/>
          <w:szCs w:val="28"/>
        </w:rPr>
        <w:t>Documentos para la Evaluación Socioeconómica Familiar</w:t>
      </w:r>
    </w:p>
    <w:p w:rsidR="003F2043" w:rsidRDefault="00CB2E6F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Calibri" w:eastAsia="Calibri" w:hAnsi="Calibri" w:cs="Calibri"/>
          <w:b/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8"/>
          <w:szCs w:val="28"/>
        </w:rPr>
        <w:t>Escuela de Posgrado</w:t>
      </w:r>
    </w:p>
    <w:p w:rsidR="003F2043" w:rsidRDefault="00CB2E6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Para el trámite de este proceso, presentarán los documentos, que considere sustentan su situación socioeconómica familiar:</w:t>
      </w: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Calibri" w:eastAsia="Calibri" w:hAnsi="Calibri" w:cs="Calibri"/>
          <w:color w:val="000000"/>
          <w:sz w:val="24"/>
          <w:szCs w:val="24"/>
        </w:rPr>
      </w:pPr>
    </w:p>
    <w:p w:rsidR="003F2043" w:rsidRDefault="00CB2E6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Del Padre, madre y hermanas/os: Si es dependiente.</w:t>
      </w:r>
    </w:p>
    <w:p w:rsidR="003F2043" w:rsidRDefault="00CB2E6F">
      <w:pPr>
        <w:numPr>
          <w:ilvl w:val="0"/>
          <w:numId w:val="4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Del </w:t>
      </w:r>
      <w:r>
        <w:rPr>
          <w:rFonts w:ascii="Calibri" w:eastAsia="Calibri" w:hAnsi="Calibri" w:cs="Calibri"/>
          <w:sz w:val="24"/>
          <w:szCs w:val="24"/>
        </w:rPr>
        <w:t>estudiante</w:t>
      </w:r>
      <w:r>
        <w:rPr>
          <w:rFonts w:ascii="Calibri" w:eastAsia="Calibri" w:hAnsi="Calibri" w:cs="Calibri"/>
          <w:color w:val="000000"/>
          <w:sz w:val="24"/>
          <w:szCs w:val="24"/>
        </w:rPr>
        <w:t>, esposo/a o conviviente e hijos: Si se autosostiene.</w:t>
      </w: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360"/>
        <w:jc w:val="both"/>
        <w:rPr>
          <w:rFonts w:ascii="Calibri" w:eastAsia="Calibri" w:hAnsi="Calibri" w:cs="Calibri"/>
          <w:color w:val="000000"/>
          <w:sz w:val="24"/>
          <w:szCs w:val="24"/>
        </w:rPr>
      </w:pPr>
    </w:p>
    <w:p w:rsidR="003F2043" w:rsidRDefault="00CB2E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Identificación y educación</w:t>
      </w:r>
    </w:p>
    <w:p w:rsidR="003F2043" w:rsidRDefault="00CB2E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DNI del </w:t>
      </w:r>
      <w:r>
        <w:rPr>
          <w:rFonts w:ascii="Calibri" w:eastAsia="Calibri" w:hAnsi="Calibri" w:cs="Calibri"/>
          <w:sz w:val="24"/>
          <w:szCs w:val="24"/>
        </w:rPr>
        <w:t>estudiante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y ambos padres (si son dependientes) o esposo/a o conviviente (si corresponde).</w:t>
      </w:r>
    </w:p>
    <w:p w:rsidR="003F2043" w:rsidRDefault="00CB2E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Constancias de pago de pensiones de estudios de hermanas/os (si son dependientes) o de esposa o conviviente e hijas/os dependientes (si corresponde). En caso de que estudien en centros estatales, se adjuntará la constancia u otro documento que sustente la matrícula.</w:t>
      </w: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Calibri" w:eastAsia="Calibri" w:hAnsi="Calibri" w:cs="Calibri"/>
          <w:color w:val="000000"/>
          <w:sz w:val="24"/>
          <w:szCs w:val="24"/>
        </w:rPr>
      </w:pPr>
    </w:p>
    <w:p w:rsidR="003F2043" w:rsidRDefault="00CB2E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b/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 xml:space="preserve">Vivienda y patrimonio (predial-vehicular) </w:t>
      </w:r>
    </w:p>
    <w:p w:rsidR="003F2043" w:rsidRDefault="00CB2E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Captura de pantalla de la c</w:t>
      </w:r>
      <w:r>
        <w:rPr>
          <w:rFonts w:ascii="Calibri" w:eastAsia="Calibri" w:hAnsi="Calibri" w:cs="Calibri"/>
          <w:color w:val="000000"/>
          <w:sz w:val="24"/>
          <w:szCs w:val="24"/>
        </w:rPr>
        <w:t>onsulta de propiedad inmueble de cada uno de los padres (si es dependiente), del estudiante en caso sea mayor de edad y de</w:t>
      </w:r>
      <w:r>
        <w:rPr>
          <w:rFonts w:ascii="Calibri" w:eastAsia="Calibri" w:hAnsi="Calibri" w:cs="Calibri"/>
          <w:sz w:val="24"/>
          <w:szCs w:val="24"/>
        </w:rPr>
        <w:t>l esposo/a o conviviente, si corresponde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. Se obtiene en el siguiente enlace: </w:t>
      </w:r>
    </w:p>
    <w:p w:rsidR="003F2043" w:rsidRDefault="005325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rFonts w:ascii="Calibri" w:eastAsia="Calibri" w:hAnsi="Calibri" w:cs="Calibri"/>
          <w:color w:val="004EA8"/>
          <w:sz w:val="24"/>
          <w:szCs w:val="24"/>
          <w:u w:val="single"/>
        </w:rPr>
      </w:pPr>
      <w:hyperlink r:id="rId7">
        <w:r w:rsidR="00CB2E6F">
          <w:rPr>
            <w:rFonts w:ascii="Calibri" w:eastAsia="Calibri" w:hAnsi="Calibri" w:cs="Calibri"/>
            <w:color w:val="004EA8"/>
            <w:sz w:val="24"/>
            <w:szCs w:val="24"/>
            <w:u w:val="single"/>
          </w:rPr>
          <w:t>https://www.sunarp.gob.pe/seccion/servicios/detalles/0/c10.html</w:t>
        </w:r>
      </w:hyperlink>
    </w:p>
    <w:p w:rsidR="003F2043" w:rsidRDefault="00CB2E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Autoavalúo de cada inmueble</w:t>
      </w:r>
      <w:r>
        <w:rPr>
          <w:rFonts w:ascii="Calibri" w:eastAsia="Calibri" w:hAnsi="Calibri" w:cs="Calibri"/>
          <w:sz w:val="24"/>
          <w:szCs w:val="24"/>
        </w:rPr>
        <w:t xml:space="preserve"> a nombre de los padres (si es dependiente), del estudiante (si es mayor de edad) y del esposo/a o conviviente, si corresponde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(Formularios HR y PU).</w:t>
      </w:r>
    </w:p>
    <w:p w:rsidR="003F2043" w:rsidRDefault="00CB2E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Recibos de servicios del último mes de luz y agua de la vivienda y </w:t>
      </w:r>
      <w:r>
        <w:rPr>
          <w:rFonts w:ascii="Calibri" w:eastAsia="Calibri" w:hAnsi="Calibri" w:cs="Calibri"/>
          <w:sz w:val="24"/>
          <w:szCs w:val="24"/>
        </w:rPr>
        <w:t xml:space="preserve">de inmuebles adicionales a la vivienda (no es necesario el </w:t>
      </w:r>
      <w:proofErr w:type="spellStart"/>
      <w:r>
        <w:rPr>
          <w:rFonts w:ascii="Calibri" w:eastAsia="Calibri" w:hAnsi="Calibri" w:cs="Calibri"/>
          <w:sz w:val="24"/>
          <w:szCs w:val="24"/>
        </w:rPr>
        <w:t>voucher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de pago, solo el recibo emitido por la empresa que presta el servicio).</w:t>
      </w:r>
    </w:p>
    <w:p w:rsidR="003F2043" w:rsidRDefault="00CB2E6F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Si habitan en inmueble alquilado, adjuntar contrato y/o recibo de arrendamiento.</w:t>
      </w:r>
    </w:p>
    <w:p w:rsidR="003F2043" w:rsidRDefault="00CB2E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18" w:hanging="284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En caso de poseer vehículo, presentar la “identificación vehicular” o tarjeta de propiedad de cada vehículo. </w:t>
      </w:r>
    </w:p>
    <w:p w:rsidR="003F2043" w:rsidRDefault="00CB2E6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rFonts w:ascii="Calibri" w:eastAsia="Calibri" w:hAnsi="Calibri" w:cs="Calibri"/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En caso no posean vehículo</w:t>
      </w:r>
      <w:r w:rsidR="000B343B">
        <w:rPr>
          <w:rFonts w:ascii="Calibri" w:eastAsia="Calibri" w:hAnsi="Calibri" w:cs="Calibri"/>
          <w:color w:val="000000"/>
          <w:sz w:val="24"/>
          <w:szCs w:val="24"/>
        </w:rPr>
        <w:t xml:space="preserve"> (</w:t>
      </w:r>
      <w:r>
        <w:rPr>
          <w:rFonts w:ascii="Calibri" w:eastAsia="Calibri" w:hAnsi="Calibri" w:cs="Calibri"/>
          <w:color w:val="000000"/>
          <w:sz w:val="24"/>
          <w:szCs w:val="24"/>
        </w:rPr>
        <w:t>s</w:t>
      </w:r>
      <w:r w:rsidR="000B343B">
        <w:rPr>
          <w:rFonts w:ascii="Calibri" w:eastAsia="Calibri" w:hAnsi="Calibri" w:cs="Calibri"/>
          <w:color w:val="000000"/>
          <w:sz w:val="24"/>
          <w:szCs w:val="24"/>
        </w:rPr>
        <w:t>)</w:t>
      </w:r>
      <w:r>
        <w:rPr>
          <w:rFonts w:ascii="Calibri" w:eastAsia="Calibri" w:hAnsi="Calibri" w:cs="Calibri"/>
          <w:color w:val="000000"/>
          <w:sz w:val="24"/>
          <w:szCs w:val="24"/>
        </w:rPr>
        <w:t>, no presentar ningún documento.</w:t>
      </w: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708"/>
        <w:jc w:val="both"/>
        <w:rPr>
          <w:rFonts w:ascii="Calibri" w:eastAsia="Calibri" w:hAnsi="Calibri" w:cs="Calibri"/>
          <w:color w:val="000000"/>
          <w:sz w:val="24"/>
          <w:szCs w:val="24"/>
          <w:u w:val="single"/>
        </w:rPr>
      </w:pPr>
    </w:p>
    <w:p w:rsidR="003F2043" w:rsidRDefault="00CB2E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Ingresos familiares</w:t>
      </w:r>
    </w:p>
    <w:p w:rsidR="003F2043" w:rsidRDefault="00CB2E6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Renta de primera categoría – alquileres: contrato de alquiler</w:t>
      </w:r>
    </w:p>
    <w:p w:rsidR="003F2043" w:rsidRDefault="00CB2E6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Renta de cuarta categoría – trabajo independiente: Contrato de Prestaciones de Servicios: Locación / CAS, si corresponde.</w:t>
      </w:r>
    </w:p>
    <w:p w:rsidR="003F2043" w:rsidRDefault="00CB2E6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 xml:space="preserve">Renta de quinta categoría – trabajo dependiente: tres últimas boletas de sueldo, pensión y otros pagos (jubilación, cesantía, viudez, judicial, orfandad, CAFAE), correspondiente a los tres últimos meses. </w:t>
      </w:r>
    </w:p>
    <w:p w:rsidR="003F2043" w:rsidRDefault="00CB2E6F">
      <w:pPr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Si registra RUC activo (aunque no esté en uso), presentar el Reporte Tributario para Terceros, se obtiene en el siguiente enlace:</w:t>
      </w:r>
    </w:p>
    <w:p w:rsidR="003F2043" w:rsidRDefault="005325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rFonts w:ascii="Calibri" w:eastAsia="Calibri" w:hAnsi="Calibri" w:cs="Calibri"/>
          <w:color w:val="004EA8"/>
          <w:sz w:val="24"/>
          <w:szCs w:val="24"/>
          <w:u w:val="single"/>
        </w:rPr>
      </w:pPr>
      <w:hyperlink r:id="rId8">
        <w:r w:rsidR="00CB2E6F">
          <w:rPr>
            <w:rFonts w:ascii="Calibri" w:eastAsia="Calibri" w:hAnsi="Calibri" w:cs="Calibri"/>
            <w:color w:val="004EA8"/>
            <w:sz w:val="24"/>
            <w:szCs w:val="24"/>
            <w:u w:val="single"/>
          </w:rPr>
          <w:t>http://www.sunat.gob.pe/accesosDirectos/reactivaPeru-p.html</w:t>
        </w:r>
      </w:hyperlink>
    </w:p>
    <w:p w:rsidR="003F2043" w:rsidRDefault="003F2043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:rsidR="003F2043" w:rsidRDefault="00CB2E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lastRenderedPageBreak/>
        <w:t xml:space="preserve">Actividad empresarial/comercial 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Renta de tercera categoría – empresa/negocio propio: Presentar el Reporte Tributario para Terceros, del R</w:t>
      </w:r>
      <w:r>
        <w:rPr>
          <w:rFonts w:ascii="Calibri" w:eastAsia="Calibri" w:hAnsi="Calibri" w:cs="Calibri"/>
          <w:sz w:val="24"/>
          <w:szCs w:val="24"/>
        </w:rPr>
        <w:t>UC</w:t>
      </w:r>
      <w:r>
        <w:rPr>
          <w:rFonts w:ascii="Calibri" w:eastAsia="Calibri" w:hAnsi="Calibri" w:cs="Calibri"/>
          <w:color w:val="000000"/>
          <w:sz w:val="24"/>
          <w:szCs w:val="24"/>
        </w:rPr>
        <w:t xml:space="preserve"> como Persona natural o Persona Jurídica o Razón Social, se obtiene en el siguiente enlace:</w:t>
      </w:r>
    </w:p>
    <w:p w:rsidR="003F2043" w:rsidRDefault="00532508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rFonts w:ascii="Calibri" w:eastAsia="Calibri" w:hAnsi="Calibri" w:cs="Calibri"/>
          <w:color w:val="000000"/>
          <w:sz w:val="24"/>
          <w:szCs w:val="24"/>
        </w:rPr>
      </w:pPr>
      <w:hyperlink r:id="rId9">
        <w:r w:rsidR="00CB2E6F">
          <w:rPr>
            <w:rFonts w:ascii="Calibri" w:eastAsia="Calibri" w:hAnsi="Calibri" w:cs="Calibri"/>
            <w:color w:val="0000FF"/>
            <w:sz w:val="24"/>
            <w:szCs w:val="24"/>
            <w:u w:val="single"/>
          </w:rPr>
          <w:t>http://www.sunat.gob.pe/accesosDirectos/reactivaPeru-p.html</w:t>
        </w:r>
      </w:hyperlink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También presentar la licencia de funcionamiento, autoavalúo o contrato actualizado del alquiler del local y sucursales.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Si la razón social registra como persona jurídica: Presentar la Búsqueda de índice de propiedad de inmueble de Lima-Callao y del departamento donde se ubique el domicilio fiscal y sucursales. Esta información la puede obtener en las Oficinas de Registros Públicos – SUNARP o ingresando al siguiente enlace:</w:t>
      </w:r>
    </w:p>
    <w:p w:rsidR="003F2043" w:rsidRDefault="00CB2E6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  <w:hyperlink r:id="rId10">
        <w:r>
          <w:rPr>
            <w:rFonts w:ascii="Calibri" w:eastAsia="Calibri" w:hAnsi="Calibri" w:cs="Calibri"/>
            <w:color w:val="004EA8"/>
            <w:sz w:val="24"/>
            <w:szCs w:val="24"/>
            <w:u w:val="single"/>
          </w:rPr>
          <w:t>https://enlinea.sunarp.gob.pe/sunarpweb/pages/acceso/ingreso.faces</w:t>
        </w:r>
      </w:hyperlink>
      <w:r>
        <w:rPr>
          <w:rFonts w:ascii="Calibri" w:eastAsia="Calibri" w:hAnsi="Calibri" w:cs="Calibri"/>
          <w:color w:val="000000"/>
          <w:sz w:val="24"/>
          <w:szCs w:val="24"/>
        </w:rPr>
        <w:t xml:space="preserve">). 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En caso la(s) empresa (s) registre vehículos, presentar l</w:t>
      </w:r>
      <w:r>
        <w:rPr>
          <w:rFonts w:ascii="Calibri" w:eastAsia="Calibri" w:hAnsi="Calibri" w:cs="Calibri"/>
          <w:sz w:val="24"/>
          <w:szCs w:val="24"/>
        </w:rPr>
        <w:t xml:space="preserve">a “identificación vehicular” o tarjeta de propiedad de cada vehículo. </w:t>
      </w: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720"/>
        <w:jc w:val="both"/>
        <w:rPr>
          <w:rFonts w:ascii="Calibri" w:eastAsia="Calibri" w:hAnsi="Calibri" w:cs="Calibri"/>
          <w:sz w:val="24"/>
          <w:szCs w:val="24"/>
        </w:rPr>
      </w:pPr>
    </w:p>
    <w:p w:rsidR="003F2043" w:rsidRDefault="00CB2E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</w:rPr>
        <w:t xml:space="preserve">Documentos para casos especiales, de acuerdo con la situación que atraviese la familia. 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Certificado médico o documento de salud que sustenta el diagnóstico de enfermedades de alto impacto socioeconómico.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Desempleo: Liquidación de Beneficios Sociales, CTS y dependiendo de la situación, incluir la Liquidación de Indemnización Laboral o el Documento de Mutuo Disenso.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Acta, Certificado o Partida de defunción en caso de fallecimiento.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Sentencia de divorcio, alimentos o conciliación.</w:t>
      </w:r>
    </w:p>
    <w:p w:rsidR="003F2043" w:rsidRDefault="00CB2E6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440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Otros, que considere convenientes.</w:t>
      </w: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080"/>
        <w:jc w:val="both"/>
        <w:rPr>
          <w:rFonts w:ascii="Calibri" w:eastAsia="Calibri" w:hAnsi="Calibri" w:cs="Calibri"/>
          <w:color w:val="000000"/>
          <w:sz w:val="24"/>
          <w:szCs w:val="24"/>
        </w:rPr>
      </w:pPr>
    </w:p>
    <w:p w:rsidR="003F2043" w:rsidRDefault="00CB2E6F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b/>
          <w:color w:val="000000"/>
          <w:sz w:val="24"/>
          <w:szCs w:val="24"/>
        </w:rPr>
        <w:t>Importante.</w:t>
      </w:r>
    </w:p>
    <w:p w:rsidR="003F2043" w:rsidRDefault="00CB2E6F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  <w:sz w:val="24"/>
          <w:szCs w:val="24"/>
        </w:rPr>
      </w:pPr>
      <w:r>
        <w:rPr>
          <w:rFonts w:ascii="Calibri" w:eastAsia="Calibri" w:hAnsi="Calibri" w:cs="Calibri"/>
          <w:color w:val="000000"/>
          <w:sz w:val="24"/>
          <w:szCs w:val="24"/>
        </w:rPr>
        <w:t>Con el fin de dar mayor consistencia, la Universidad ha previsto cruzar la información que presenta cada estudiante y su familia con la que se encuentra en las entidades públicas y privadas. Si se detectara alguna inexactitud dolosa u omisión, se aplicarán las sanciones reglamentarias que correspondan.</w:t>
      </w: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Calibri" w:eastAsia="Calibri" w:hAnsi="Calibri" w:cs="Calibri"/>
          <w:color w:val="000000"/>
          <w:sz w:val="24"/>
          <w:szCs w:val="24"/>
          <w:u w:val="single"/>
        </w:rPr>
      </w:pP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alibri" w:eastAsia="Calibri" w:hAnsi="Calibri" w:cs="Calibri"/>
          <w:color w:val="000000"/>
        </w:rPr>
      </w:pP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alibri" w:eastAsia="Calibri" w:hAnsi="Calibri" w:cs="Calibri"/>
          <w:color w:val="000000"/>
        </w:rPr>
      </w:pPr>
    </w:p>
    <w:p w:rsidR="003F2043" w:rsidRDefault="003F2043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alibri" w:eastAsia="Calibri" w:hAnsi="Calibri" w:cs="Calibri"/>
          <w:color w:val="000000"/>
        </w:rPr>
      </w:pPr>
    </w:p>
    <w:p w:rsidR="003F2043" w:rsidRDefault="00CB2E6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alibri" w:eastAsia="Calibri" w:hAnsi="Calibri" w:cs="Calibri"/>
          <w:color w:val="000000"/>
        </w:rPr>
      </w:pPr>
      <w:r>
        <w:rPr>
          <w:rFonts w:ascii="Calibri" w:eastAsia="Calibri" w:hAnsi="Calibri" w:cs="Calibri"/>
          <w:b/>
          <w:color w:val="000000"/>
        </w:rPr>
        <w:t>Dirección de Asuntos Estudiantiles</w:t>
      </w:r>
    </w:p>
    <w:p w:rsidR="003F2043" w:rsidRDefault="00CB2E6F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alibri" w:eastAsia="Calibri" w:hAnsi="Calibri" w:cs="Calibri"/>
          <w:b/>
          <w:color w:val="000000"/>
        </w:rPr>
      </w:pPr>
      <w:r>
        <w:rPr>
          <w:rFonts w:ascii="Calibri" w:eastAsia="Calibri" w:hAnsi="Calibri" w:cs="Calibri"/>
          <w:b/>
          <w:color w:val="000000"/>
        </w:rPr>
        <w:t>Oficina de Apoyo y Promoción Social</w:t>
      </w:r>
    </w:p>
    <w:p w:rsidR="003F2043" w:rsidRDefault="000B343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07</w:t>
      </w:r>
      <w:r w:rsidR="00CB2E6F">
        <w:rPr>
          <w:rFonts w:ascii="Calibri" w:eastAsia="Calibri" w:hAnsi="Calibri" w:cs="Calibri"/>
          <w:b/>
        </w:rPr>
        <w:t>/</w:t>
      </w:r>
      <w:r>
        <w:rPr>
          <w:rFonts w:ascii="Calibri" w:eastAsia="Calibri" w:hAnsi="Calibri" w:cs="Calibri"/>
          <w:b/>
        </w:rPr>
        <w:t>04</w:t>
      </w:r>
      <w:r w:rsidR="00CB2E6F">
        <w:rPr>
          <w:rFonts w:ascii="Calibri" w:eastAsia="Calibri" w:hAnsi="Calibri" w:cs="Calibri"/>
          <w:b/>
        </w:rPr>
        <w:t>/202</w:t>
      </w:r>
      <w:r>
        <w:rPr>
          <w:rFonts w:ascii="Calibri" w:eastAsia="Calibri" w:hAnsi="Calibri" w:cs="Calibri"/>
          <w:b/>
        </w:rPr>
        <w:t>5</w:t>
      </w:r>
      <w:bookmarkStart w:id="1" w:name="_GoBack"/>
      <w:bookmarkEnd w:id="1"/>
    </w:p>
    <w:p w:rsidR="003F2043" w:rsidRDefault="003F2043"/>
    <w:sectPr w:rsidR="003F2043">
      <w:headerReference w:type="default" r:id="rId11"/>
      <w:footerReference w:type="default" r:id="rId12"/>
      <w:pgSz w:w="11901" w:h="16817"/>
      <w:pgMar w:top="2209" w:right="1411" w:bottom="992" w:left="1134" w:header="709" w:footer="14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2508" w:rsidRDefault="00532508">
      <w:pPr>
        <w:spacing w:after="0" w:line="240" w:lineRule="auto"/>
      </w:pPr>
      <w:r>
        <w:separator/>
      </w:r>
    </w:p>
  </w:endnote>
  <w:endnote w:type="continuationSeparator" w:id="0">
    <w:p w:rsidR="00532508" w:rsidRDefault="005325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eko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Calibri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T Norms Pro Medium">
    <w:altName w:val="Calibri"/>
    <w:charset w:val="00"/>
    <w:family w:val="auto"/>
    <w:pitch w:val="default"/>
  </w:font>
  <w:font w:name="TT Norms Pro ExtraBold">
    <w:altName w:val="Calibri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043" w:rsidRDefault="003F2043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rPr>
        <w:rFonts w:ascii="TT Norms Pro Medium" w:eastAsia="TT Norms Pro Medium" w:hAnsi="TT Norms Pro Medium" w:cs="TT Norms Pro Medium"/>
        <w:color w:val="182C54"/>
        <w:sz w:val="16"/>
        <w:szCs w:val="16"/>
      </w:rPr>
    </w:pPr>
  </w:p>
  <w:p w:rsidR="003F2043" w:rsidRDefault="00CB2E6F">
    <w:pPr>
      <w:pBdr>
        <w:top w:val="nil"/>
        <w:left w:val="nil"/>
        <w:bottom w:val="nil"/>
        <w:right w:val="nil"/>
        <w:between w:val="nil"/>
      </w:pBdr>
      <w:spacing w:after="0" w:line="240" w:lineRule="auto"/>
      <w:jc w:val="center"/>
      <w:rPr>
        <w:rFonts w:ascii="TT Norms Pro ExtraBold" w:eastAsia="TT Norms Pro ExtraBold" w:hAnsi="TT Norms Pro ExtraBold" w:cs="TT Norms Pro ExtraBold"/>
        <w:color w:val="000000"/>
        <w:sz w:val="16"/>
        <w:szCs w:val="16"/>
      </w:rPr>
    </w:pPr>
    <w:r>
      <w:rPr>
        <w:rFonts w:ascii="TT Norms Pro Medium" w:eastAsia="TT Norms Pro Medium" w:hAnsi="TT Norms Pro Medium" w:cs="TT Norms Pro Medium"/>
        <w:color w:val="000000"/>
        <w:sz w:val="16"/>
        <w:szCs w:val="16"/>
      </w:rPr>
      <w:t xml:space="preserve">Av. Universitaria 1801 - San Miguel, Lima, Perú. | T: (511) 626-2000 | </w:t>
    </w:r>
    <w:r>
      <w:rPr>
        <w:rFonts w:ascii="TT Norms Pro ExtraBold" w:eastAsia="TT Norms Pro ExtraBold" w:hAnsi="TT Norms Pro ExtraBold" w:cs="TT Norms Pro ExtraBold"/>
        <w:color w:val="000000"/>
        <w:sz w:val="16"/>
        <w:szCs w:val="16"/>
      </w:rPr>
      <w:t>daes.pucp.edu.pe</w:t>
    </w:r>
  </w:p>
  <w:p w:rsidR="003F2043" w:rsidRDefault="003F2043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2508" w:rsidRDefault="00532508">
      <w:pPr>
        <w:spacing w:after="0" w:line="240" w:lineRule="auto"/>
      </w:pPr>
      <w:r>
        <w:separator/>
      </w:r>
    </w:p>
  </w:footnote>
  <w:footnote w:type="continuationSeparator" w:id="0">
    <w:p w:rsidR="00532508" w:rsidRDefault="0053250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2043" w:rsidRDefault="00CB2E6F">
    <w:pPr>
      <w:pBdr>
        <w:top w:val="nil"/>
        <w:left w:val="nil"/>
        <w:bottom w:val="nil"/>
        <w:right w:val="nil"/>
        <w:between w:val="nil"/>
      </w:pBdr>
      <w:tabs>
        <w:tab w:val="left" w:pos="2016"/>
      </w:tabs>
      <w:spacing w:after="0" w:line="240" w:lineRule="auto"/>
      <w:rPr>
        <w:color w:val="000000"/>
      </w:rPr>
    </w:pPr>
    <w:r>
      <w:rPr>
        <w:noProof/>
        <w:color w:val="000000"/>
      </w:rPr>
      <w:drawing>
        <wp:inline distT="0" distB="0" distL="114300" distR="114300">
          <wp:extent cx="1657350" cy="109537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657350" cy="109537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color w:val="000000"/>
      </w:rPr>
      <w:tab/>
    </w:r>
  </w:p>
  <w:p w:rsidR="003F2043" w:rsidRDefault="003F2043">
    <w:pPr>
      <w:pBdr>
        <w:top w:val="nil"/>
        <w:left w:val="nil"/>
        <w:bottom w:val="nil"/>
        <w:right w:val="nil"/>
        <w:between w:val="nil"/>
      </w:pBdr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35928"/>
    <w:multiLevelType w:val="multilevel"/>
    <w:tmpl w:val="145ECBF2"/>
    <w:lvl w:ilvl="0">
      <w:start w:val="1"/>
      <w:numFmt w:val="bullet"/>
      <w:lvlText w:val="-"/>
      <w:lvlJc w:val="left"/>
      <w:pPr>
        <w:ind w:left="1080" w:hanging="360"/>
      </w:pPr>
      <w:rPr>
        <w:rFonts w:ascii="Teko" w:eastAsia="Teko" w:hAnsi="Teko" w:cs="Teko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481F02FD"/>
    <w:multiLevelType w:val="multilevel"/>
    <w:tmpl w:val="8B58142A"/>
    <w:lvl w:ilvl="0">
      <w:start w:val="1"/>
      <w:numFmt w:val="bullet"/>
      <w:lvlText w:val="-"/>
      <w:lvlJc w:val="left"/>
      <w:pPr>
        <w:ind w:left="1440" w:hanging="360"/>
      </w:pPr>
      <w:rPr>
        <w:rFonts w:ascii="Teko" w:eastAsia="Teko" w:hAnsi="Teko" w:cs="Teko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4BBF1058"/>
    <w:multiLevelType w:val="multilevel"/>
    <w:tmpl w:val="81C86F4A"/>
    <w:lvl w:ilvl="0">
      <w:start w:val="1"/>
      <w:numFmt w:val="bullet"/>
      <w:lvlText w:val="-"/>
      <w:lvlJc w:val="left"/>
      <w:pPr>
        <w:ind w:left="1080" w:hanging="360"/>
      </w:pPr>
      <w:rPr>
        <w:rFonts w:ascii="Teko" w:eastAsia="Teko" w:hAnsi="Teko" w:cs="Teko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6F93D89"/>
    <w:multiLevelType w:val="multilevel"/>
    <w:tmpl w:val="E604E50C"/>
    <w:lvl w:ilvl="0">
      <w:start w:val="1"/>
      <w:numFmt w:val="bullet"/>
      <w:lvlText w:val="-"/>
      <w:lvlJc w:val="left"/>
      <w:pPr>
        <w:ind w:left="720" w:hanging="360"/>
      </w:pPr>
      <w:rPr>
        <w:rFonts w:ascii="Teko" w:eastAsia="Teko" w:hAnsi="Teko" w:cs="Tek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70122D10"/>
    <w:multiLevelType w:val="multilevel"/>
    <w:tmpl w:val="F39EB30E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77861E22"/>
    <w:multiLevelType w:val="multilevel"/>
    <w:tmpl w:val="809A293A"/>
    <w:lvl w:ilvl="0">
      <w:start w:val="1"/>
      <w:numFmt w:val="bullet"/>
      <w:lvlText w:val="-"/>
      <w:lvlJc w:val="left"/>
      <w:pPr>
        <w:ind w:left="1440" w:hanging="360"/>
      </w:pPr>
      <w:rPr>
        <w:rFonts w:ascii="Teko" w:eastAsia="Teko" w:hAnsi="Teko" w:cs="Teko"/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4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F2043"/>
    <w:rsid w:val="0009083E"/>
    <w:rsid w:val="000B343B"/>
    <w:rsid w:val="003F2043"/>
    <w:rsid w:val="00532508"/>
    <w:rsid w:val="00CB2E6F"/>
    <w:rsid w:val="00CD6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9D54F68"/>
  <w15:docId w15:val="{FD6A10E6-C528-442D-9742-970BFD4D0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s-PE" w:eastAsia="es-P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nat.gob.pe/accesosDirectos/reactivaPeru-p.htm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narp.gob.pe/seccion/servicios/detalles/0/c10.html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enlinea.sunarp.gob.pe/sunarpweb/pages/acceso/ingreso.fac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unat.gob.pe/accesosDirectos/reactivaPeru-p.html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685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OFAPS DAES</dc:creator>
  <cp:lastModifiedBy>Liz Magally Torre Correa</cp:lastModifiedBy>
  <cp:revision>2</cp:revision>
  <dcterms:created xsi:type="dcterms:W3CDTF">2025-04-07T21:17:00Z</dcterms:created>
  <dcterms:modified xsi:type="dcterms:W3CDTF">2025-04-07T21:17:00Z</dcterms:modified>
</cp:coreProperties>
</file>